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0"/>
          <w:sz w:val="24"/>
        </w:rPr>
        <w:t xml:space="preserve">Номинации: </w:t>
      </w:r>
    </w:p>
    <w:p w14:paraId="03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i w:val="1"/>
          <w:sz w:val="24"/>
        </w:rPr>
      </w:pPr>
    </w:p>
    <w:p w14:paraId="04000000">
      <w:pPr>
        <w:numPr>
          <w:numId w:val="1"/>
        </w:numPr>
        <w:spacing w:after="0" w:line="240" w:lineRule="auto"/>
        <w:ind w:firstLine="0" w:left="0"/>
        <w:jc w:val="lef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 просветительскую деятельность в образовательной организации. </w:t>
      </w:r>
    </w:p>
    <w:p w14:paraId="0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Номинация для тех, кто внедряет современные методики просвещения, расширяет границы классических лекций в раб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оте со студентами высших учебных заведений, учреждений среднего профессионального образования, ведет образовательную и воспитательную работу в школах.</w:t>
      </w:r>
      <w:r>
        <w:rPr>
          <w:rFonts w:ascii="Times New Roman" w:hAnsi="Times New Roman"/>
          <w:color w:val="000000"/>
          <w:sz w:val="24"/>
        </w:rPr>
        <w:br/>
      </w:r>
    </w:p>
    <w:p w14:paraId="0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Стать претендентами на номинирование могут преподаватели, профессора, доценты, кураторы, методисты, педагоги-организаторы, а также ректоры, проректоры, деканы, заведующие кафедрами, руководители и заместители по учебной и воспитательной работе образовательных организаций, советники директоров по воспитанию и взаимодействию с детскими общественными объединениями, авторы студенческих просветительских проектов и др.</w:t>
      </w:r>
    </w:p>
    <w:p w14:paraId="07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8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Советник-просветитель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Просветитель в школе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Просветитель в системе среднего профессионального образования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Просветитель в университете</w:t>
      </w:r>
    </w:p>
    <w:p w14:paraId="0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A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сохранение единства народов России.</w:t>
      </w:r>
    </w:p>
    <w:p w14:paraId="0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способствующих укреплению межнационального единства через общие традиционные ценности.</w:t>
      </w:r>
    </w:p>
    <w:p w14:paraId="0C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0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представители национально-культурных объединений, педагоги, психологи, культурологи, историки, общественные религиозные деятели, авторы просветительских проектов, а также инициативы, направленные на гармонизацию межнациональных отношений и популяризацию традиционного уклада жизни как основы единства страны.</w:t>
      </w:r>
    </w:p>
    <w:p w14:paraId="0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0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1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11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сохранение памяти о подвигах защитников Отечества.</w:t>
      </w:r>
    </w:p>
    <w:p w14:paraId="1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которые активно занимаются популяризацией героического прошлого и настоящего нашей страны, подвигов защитников Отечества, сохранением исторической памяти, а также воспитанием патриотизма и уважения к истории России.</w:t>
      </w:r>
    </w:p>
    <w:p w14:paraId="13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1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историки, педагоги, авторы книг и документальных фильмов, создатели музейных экспозиций, организаторы патриотических акций, участники и герои специальной военной операции, военные корреспонденты, а также проекты, направленные на сохранение и передачу памяти о подвигах защитников Отечества, включая мемориальные инициативы, образовательные программы, мультимедийные продукты и общественные движения.</w:t>
      </w:r>
    </w:p>
    <w:p w14:paraId="1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1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17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4"/>
        </w:rPr>
      </w:pPr>
    </w:p>
    <w:p w14:paraId="18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4"/>
        </w:rPr>
      </w:pPr>
    </w:p>
    <w:p w14:paraId="19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4"/>
        </w:rPr>
      </w:pPr>
    </w:p>
    <w:p w14:paraId="1A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Номинация имени Сергея Ивановича Вавилова.</w:t>
      </w:r>
    </w:p>
    <w:p w14:paraId="1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лекторов, продолжающих дело академика С.И. Вавилова – первого председателя Правления Всесоюзного общества по распространению политических и научных знаний (с 1963 года – Общество «Знание»). Учреждена для признания заслуг в развитии лекторского мастерства и укреплении традиций отечественного просвещения. При оценке достижений учитывается как многолетний труд, так и высокая активность в области распространения достоверных знаний.</w:t>
      </w:r>
    </w:p>
    <w:p w14:paraId="1C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1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представители разных сфер, демонстрирующие высокий уровень профессионализма в лекторской деятельности.</w:t>
      </w:r>
    </w:p>
    <w:p w14:paraId="1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1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</w:p>
    <w:p w14:paraId="2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21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«Экология и Туризм».</w:t>
      </w:r>
    </w:p>
    <w:p w14:paraId="2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которые развивают и популяризируют туристический образ регионов страны и культуру гостеприимства, ведут работу по повышению экологической ответственности и охраны окружающей среды, сохранению природы и биоразнообразия.</w:t>
      </w:r>
    </w:p>
    <w:p w14:paraId="23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2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экологи, исследователи, экскурсоводы, эксперты по устойчивому туризму, а также экологические программы, туристические маршруты и др.</w:t>
      </w:r>
    </w:p>
    <w:p w14:paraId="2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2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27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4"/>
        </w:rPr>
      </w:pPr>
    </w:p>
    <w:p w14:paraId="28000000">
      <w:pPr>
        <w:numPr>
          <w:numId w:val="1"/>
        </w:numPr>
        <w:spacing w:after="0" w:line="240" w:lineRule="auto"/>
        <w:ind w:firstLine="0" w:lef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«Культура и Искусство».</w:t>
      </w:r>
    </w:p>
    <w:p w14:paraId="2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осуществляющих деятельность, связанную с культурным наследием России, популяризацией творчества и искусства, а также историей культуры и искусства.</w:t>
      </w:r>
    </w:p>
    <w:p w14:paraId="2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2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музыканты, художники, актеры, режиссеры, искусствоведы, а также художественные выставки, творческие фестивали, театральные постановки и др.</w:t>
      </w:r>
    </w:p>
    <w:p w14:paraId="2C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2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2E000000">
      <w:pPr>
        <w:spacing w:after="0" w:line="240" w:lineRule="auto"/>
        <w:ind w:firstLine="0" w:left="0"/>
        <w:jc w:val="left"/>
        <w:rPr>
          <w:rFonts w:ascii="Times New Roman" w:hAnsi="Times New Roman"/>
          <w:b w:val="1"/>
          <w:color w:val="000000"/>
          <w:sz w:val="24"/>
        </w:rPr>
      </w:pPr>
    </w:p>
    <w:p w14:paraId="2F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«Наука и Технологии».</w:t>
      </w:r>
    </w:p>
    <w:p w14:paraId="3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которые активно занимаются научной деятельностью, популяризацией науки и развитием научно-технического потенциала страны, способствуют активному применению новых технологий в различных сферах, а также рассказывают о последних научных открытиях и достижениях, новых технологиях. Номинация приурочена к Десятилетию науки и технологий.</w:t>
      </w:r>
    </w:p>
    <w:p w14:paraId="31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sz w:val="24"/>
        </w:rPr>
        <w:br/>
      </w:r>
    </w:p>
    <w:p w14:paraId="3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ученые, изобретатели, технологи, научные сотрудники, специалисты в сфере информационных технологий, а также научные олимпиады, технологические программы и др.</w:t>
      </w:r>
      <w:r>
        <w:rPr>
          <w:rFonts w:ascii="Times New Roman" w:hAnsi="Times New Roman"/>
          <w:color w:val="000000"/>
          <w:sz w:val="24"/>
        </w:rPr>
        <w:br/>
      </w:r>
    </w:p>
    <w:p w14:paraId="33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34000000">
      <w:pPr>
        <w:spacing w:after="0" w:line="240" w:lineRule="auto"/>
        <w:ind w:firstLine="0" w:left="0"/>
        <w:jc w:val="left"/>
        <w:rPr>
          <w:rFonts w:ascii="Times New Roman" w:hAnsi="Times New Roman"/>
          <w:sz w:val="24"/>
        </w:rPr>
      </w:pPr>
    </w:p>
    <w:p w14:paraId="35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«Обучение и Наставничество».</w:t>
      </w:r>
    </w:p>
    <w:p w14:paraId="3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предназначена для просветителей и просветительских проектов, способствующих развитию культуры обучения и наставничества, а также созданию условий для передачи знаний, навыков и опыта между поколениями и профессиональными сообществами.</w:t>
      </w:r>
    </w:p>
    <w:p w14:paraId="37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sz w:val="24"/>
        </w:rPr>
        <w:br/>
      </w:r>
    </w:p>
    <w:p w14:paraId="38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педагоги, наставники, тренеры, создатели обучающих программ, а также проекты, направленные на развитие обучения и наставничества. Это могут быть образовательные платформы, программы наставничества, курсы, тренинги, инициативы по обмену опытом и другие проекты, способствующие эффективному обучению, личностному и профессиональному росту.</w:t>
      </w:r>
    </w:p>
    <w:p w14:paraId="3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3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 </w:t>
      </w:r>
    </w:p>
    <w:p w14:paraId="3B000000">
      <w:pPr>
        <w:spacing w:after="0" w:line="240" w:lineRule="auto"/>
        <w:ind w:firstLine="0" w:left="0"/>
        <w:jc w:val="left"/>
        <w:rPr>
          <w:rFonts w:ascii="Times New Roman" w:hAnsi="Times New Roman"/>
          <w:color w:val="000000"/>
          <w:sz w:val="24"/>
        </w:rPr>
      </w:pPr>
    </w:p>
    <w:p w14:paraId="3C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«Экономика, Бизнес и Право».</w:t>
      </w:r>
    </w:p>
    <w:p w14:paraId="3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просветительских проектов и просветителей, ведущих активную работу, связанную с юриспруденцией, финансовой и инвестиционной грамотностью, развитием предпринимательских способностей, а также с перспективами развития экономики, правовой культуры и юридической грамотности.</w:t>
      </w:r>
      <w:r>
        <w:rPr>
          <w:rFonts w:ascii="Times New Roman" w:hAnsi="Times New Roman"/>
          <w:sz w:val="24"/>
        </w:rPr>
        <w:br/>
      </w:r>
    </w:p>
    <w:p w14:paraId="3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предприниматели, юристы, экономисты, налоговые консультанты, а также цифровые платформы, бизнес-тренинги и др.</w:t>
      </w:r>
      <w:r>
        <w:rPr>
          <w:rFonts w:ascii="Times New Roman" w:hAnsi="Times New Roman"/>
          <w:sz w:val="24"/>
        </w:rPr>
        <w:br/>
      </w:r>
    </w:p>
    <w:p w14:paraId="3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4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1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«История».</w:t>
      </w:r>
    </w:p>
    <w:p w14:paraId="4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предназначена для просветителей и просветительских проектов, способствующих популяризации знаний в области истории, объективному освещению исторических и процессов, а также формированию у общества глубокого понимания взаимосвязи истории и современной жизни.</w:t>
      </w:r>
    </w:p>
    <w:p w14:paraId="43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историки, преподаватели, авторы книг, документальных фильмов и научных исследований, создатели образовательных программ, а также проекты, направленные на просвещение в сфере истории. Это могут быть лекции, публикации, мультимедийные продукты, дискуссионные клубы, образовательные платформы и другие инициативы.</w:t>
      </w:r>
    </w:p>
    <w:p w14:paraId="4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47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8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вклад в просвещение в сфере «Здоровье и Спорт».</w:t>
      </w:r>
    </w:p>
    <w:p w14:paraId="4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Номинация для просветительских проектов и просветителей, способствующих формированию ответственного отношения к здоровью, популяризации медицинской грамотности и профилактике заболеваний, а также развитию спорта, адаптивной физической культуры и мотивации к ведению здорового образа жизни.</w:t>
      </w:r>
      <w:r>
        <w:rPr>
          <w:rFonts w:ascii="Times New Roman" w:hAnsi="Times New Roman"/>
          <w:sz w:val="24"/>
        </w:rPr>
        <w:br/>
      </w:r>
    </w:p>
    <w:p w14:paraId="4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Претендовать на номинирование могут врачи, медицинские эксперты, специалисты здравоохранения, спортсмены, тренеры, спортивные журналисты, организаторы физкультурно-спортивной работы, а также проекты, направленные на медицинское просвещение, спортивные мероприятия и инициативы по сохранению здоровья.</w:t>
      </w:r>
    </w:p>
    <w:p w14:paraId="4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C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Категории: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4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4E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Просветительская компания года.</w:t>
      </w:r>
    </w:p>
    <w:p w14:paraId="4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организаций, реализующих комплекс просветительских мероприятий и проектов, которые направлены на повышение научного, образовательного и культурного уровня граждан. Премия присуждается юридическому лицу за выдающиеся успехи в сфере просвещения в 2025–2026 году.</w:t>
      </w:r>
    </w:p>
    <w:p w14:paraId="5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1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Просветительская компания</w:t>
      </w:r>
    </w:p>
    <w:p w14:paraId="5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3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лучший просветительский фильм.</w:t>
      </w:r>
    </w:p>
    <w:p w14:paraId="5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призвана выявить лучший просветительский фильм, в том числе анимационный или мультипликационный. К участию в конкурсе принимаются кинокартины, презентованные в 2025-2026 годах вне зависимости от тематики.</w:t>
      </w:r>
    </w:p>
    <w:p w14:paraId="5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57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</w:p>
    <w:p w14:paraId="58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лучшую просветительскую книгу.</w:t>
      </w:r>
    </w:p>
    <w:p w14:paraId="5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призвана выявить лучшую просветительскую книгу, презентованную в 2025-2026 году вне зависимости от тематики.</w:t>
      </w:r>
    </w:p>
    <w:p w14:paraId="5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Просветительский проект</w:t>
      </w:r>
    </w:p>
    <w:p w14:paraId="5C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5D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Иностранный просветитель.</w:t>
      </w:r>
    </w:p>
    <w:p w14:paraId="5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Номинация для иностранных граждан, реализующих просветительские инициативы и проекты, которые оказывают положительное влияние на развитие и укрепление отношений Российской Федерации с другими странами. Премия вручается тем, кто борется с фальсификацией и объективно освещает исторические факты о России, рассказывает о новых возможностях и перспективах в стране, о ее важнейшей роли на международной арене в разных сферах.</w:t>
      </w:r>
    </w:p>
    <w:p w14:paraId="5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0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</w:p>
    <w:p w14:paraId="61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2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Юный просветитель.</w:t>
      </w:r>
    </w:p>
    <w:p w14:paraId="63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молодых людей в возрасте от 12 до 17 лет, которые активно ведут просветительскую деятельность разной направленности, реализуют образовательные, обучающие, познавательные инициативы и проекты, проводят занятия или лекции для школьников, являются авторами научных и исследовательских работ и вдохновляют окружающих своим примером.</w:t>
      </w:r>
    </w:p>
    <w:p w14:paraId="6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Категория: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Просветитель</w:t>
      </w:r>
    </w:p>
    <w:p w14:paraId="66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7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Народный выбор.</w:t>
      </w:r>
    </w:p>
    <w:p w14:paraId="68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Награда присуждается за выдающиеся успехи в сфере просвещения в 2025–2026 году вне зависимости от тематики среди номинантов категорий «Просветитель»* и «Просветительский проект». Победители определяются открытым онлайн-голосованием слушателей на цифровой платформе МАХ.</w:t>
      </w:r>
    </w:p>
    <w:p w14:paraId="6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4"/>
        </w:rPr>
        <w:t>* – за исключением номинаций «Иностранный просветитель» и «Юный просветитель».</w:t>
      </w:r>
    </w:p>
    <w:p w14:paraId="6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6C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Выбор Первых.</w:t>
      </w:r>
    </w:p>
    <w:p w14:paraId="6D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Лауреат определяется среди номинантов категории «Просветитель»* закрытым голосованием Федерального Совета Первых, в который входят дети и подростки из всех субъектов Российской Федерации.</w:t>
      </w:r>
      <w:r>
        <w:rPr>
          <w:rFonts w:ascii="Times New Roman" w:hAnsi="Times New Roman"/>
          <w:sz w:val="24"/>
        </w:rPr>
        <w:br/>
      </w:r>
    </w:p>
    <w:p w14:paraId="6E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4"/>
        </w:rPr>
        <w:t>* – за исключением номинаций «Иностранный просветитель» и «Юный просветитель».</w:t>
      </w:r>
    </w:p>
    <w:p w14:paraId="6F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70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За общий вклад в просвещение.</w:t>
      </w:r>
    </w:p>
    <w:p w14:paraId="71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Награда присуждается за выдающиеся успехи в сфере просвещения в 2025–2026 году вне зависимости от тематики среди номинантов категорий «Просветитель» и «Просветительский проект». Победители определяются голосованием Почетного жюри по итогам очной презентации просветительской деятельности номинантов.</w:t>
      </w:r>
    </w:p>
    <w:p w14:paraId="72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73000000">
      <w:pPr>
        <w:numPr>
          <w:numId w:val="1"/>
        </w:numPr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Просветительский регион года.</w:t>
      </w:r>
    </w:p>
    <w:p w14:paraId="74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Номинация для субъектов Российской Федерации, реализующих наиболее эффективные, уникальные и масштабные просветительские инициативы.</w:t>
      </w:r>
    </w:p>
    <w:p w14:paraId="75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</w:p>
    <w:p w14:paraId="76000000">
      <w:pPr>
        <w:spacing w:after="0" w:before="0" w:line="240" w:lineRule="auto"/>
        <w:ind w:firstLine="0" w:left="0"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7000000">
      <w:pPr>
        <w:spacing w:after="0" w:before="0" w:line="240" w:lineRule="auto"/>
        <w:ind w:firstLine="0" w:left="0"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8000000">
      <w:pPr>
        <w:spacing w:after="0" w:before="0" w:line="240" w:lineRule="auto"/>
        <w:ind w:firstLine="0" w:left="0"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9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A000000">
      <w:pPr>
        <w:spacing w:after="0" w:before="0"/>
        <w:ind w:firstLine="0" w:left="0"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B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C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D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E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7F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0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1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2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3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4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5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6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7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8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9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A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B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C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p w14:paraId="8D000000">
      <w:pPr>
        <w:spacing w:after="0" w:before="0"/>
        <w:ind w:right="0"/>
        <w:jc w:val="left"/>
        <w:rPr>
          <w:rFonts w:ascii="Cygre" w:hAnsi="Cygre"/>
          <w:b w:val="0"/>
          <w:i w:val="0"/>
          <w:caps w:val="0"/>
          <w:color w:val="000000"/>
          <w:spacing w:val="0"/>
          <w:sz w:val="23"/>
        </w:rPr>
      </w:pPr>
    </w:p>
    <w:sectPr>
      <w:headerReference r:id="rId1" w:type="default"/>
      <w:pgSz w:h="16848" w:orient="portrait" w:w="11908"/>
      <w:pgMar w:bottom="850" w:footer="708" w:gutter="0" w:header="708" w:left="1134" w:right="1134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Гиперссылка2"/>
    <w:link w:val="Style_2_ch"/>
    <w:rPr>
      <w:color w:val="0000FF"/>
      <w:u w:val="single"/>
    </w:rPr>
  </w:style>
  <w:style w:styleId="Style_2_ch" w:type="character">
    <w:name w:val="Гиперссылка2"/>
    <w:link w:val="Style_2"/>
    <w:rPr>
      <w:color w:val="0000FF"/>
      <w:u w:val="single"/>
    </w:rPr>
  </w:style>
  <w:style w:styleId="Style_3" w:type="paragraph">
    <w:name w:val="toc 2"/>
    <w:next w:val="Style_1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toc 3"/>
    <w:next w:val="Style_1"/>
    <w:link w:val="Style_9_ch"/>
    <w:uiPriority w:val="39"/>
    <w:pPr>
      <w:ind w:firstLine="0"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Заголовок 3 Знак"/>
    <w:link w:val="Style_11_ch"/>
    <w:rPr>
      <w:rFonts w:ascii="XO Thames" w:hAnsi="XO Thames"/>
      <w:b w:val="1"/>
      <w:sz w:val="26"/>
    </w:rPr>
  </w:style>
  <w:style w:styleId="Style_11_ch" w:type="character">
    <w:name w:val="Заголовок 3 Знак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</w:rPr>
  </w:style>
  <w:style w:styleId="Style_16_ch" w:type="character">
    <w:name w:val="Footnote"/>
    <w:link w:val="Style_16"/>
    <w:rPr>
      <w:rFonts w:ascii="XO Thames" w:hAnsi="XO Thames"/>
    </w:rPr>
  </w:style>
  <w:style w:styleId="Style_17" w:type="paragraph">
    <w:name w:val="toc 1"/>
    <w:next w:val="Style_1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1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Обычный1"/>
    <w:link w:val="Style_21_ch"/>
  </w:style>
  <w:style w:styleId="Style_21_ch" w:type="character">
    <w:name w:val="Обычный1"/>
    <w:link w:val="Style_21"/>
  </w:style>
  <w:style w:styleId="Style_22" w:type="paragraph">
    <w:name w:val="toc 8"/>
    <w:next w:val="Style_1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toc 5"/>
    <w:next w:val="Style_1"/>
    <w:link w:val="Style_24_ch"/>
    <w:uiPriority w:val="39"/>
    <w:pPr>
      <w:ind w:firstLine="0"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heading 2"/>
    <w:next w:val="Style_1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table">
    <w:name w:val="Table Grid"/>
    <w:basedOn w:val="Style_3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2026-07-28T10:21:42Z</dcterms:modified>
</cp:coreProperties>
</file>